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3"/>
        <w:spacing w:lineRule="atLeast" w:line="100"/>
        <w:ind w:left="0" w:right="0" w:hanging="0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  <w:t>Количественные показатели оценки конфликтной ситуации</w:t>
      </w:r>
    </w:p>
    <w:tbl>
      <w:tblPr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58"/>
        <w:gridCol w:w="5656"/>
      </w:tblGrid>
      <w:tr>
        <w:trPr>
          <w:cantSplit w:val="false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Показатель</w:t>
            </w:r>
          </w:p>
        </w:tc>
        <w:tc>
          <w:tcPr>
            <w:tcW w:w="5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Что определяет?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Цена конфликта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Позволяет принять управленческое  признаку деструктивный / конструктивный. Также используется для сравнения вариантов разрешения конфликта.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Цена выходы из конфликта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Позволяет принять управленческое решение относительно продолжения конфликта.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Прибыль / убытки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Финансовый показатель, равный сумме  реального ущерба и упущенной выгоды. Обычно оценивается приблизительно самими конфликтующими сторонами  в ходе конфликта.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вовлеченных лиц в конфликт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Дает представление о влиянии конфликта на текущую деятельность организации.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потерянных человеко-часов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Суммирование по кол-ву лиц, вовлеченных в конфликт умножить на количество часов, отвлекаемых от основной работы. Позволяет принять управленческое  решение по признаку деструктивный / конструктивный.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дней нетрудоспособности и выплат по листам нетрудоспособности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Дает представление о влиянии конфликта на персонал организации.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увольнений в период или после конфликта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Дает представление о деструктивном влиянии конфликта на персонал организации.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Судебные издержки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В случае принятия решения о передаче спора в суд оценивается приблизительно конфликтолгом или самими конфликтующими сторонами.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исков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Дает представление о цене конфликта, расходах по его администрированию и потере управляемости в результате сложности и возможных судебных ошибок. 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судебных заседаний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Характеризует трудозатраты специалистов, вовлеченных в конфликт.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Кол-во оферт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В случае преддоговорного спора учет вариантов оферт с версиями договоров дает представление о затратах, связанных с заключением сделки или подготовкой конкурсной документации.</w:t>
            </w:r>
          </w:p>
        </w:tc>
      </w:tr>
      <w:tr>
        <w:trPr>
          <w:cantSplit w:val="false"/>
        </w:trPr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Длительность преддоговорного спора/претензионного урегулирования спора (недель)</w:t>
            </w:r>
          </w:p>
        </w:tc>
        <w:tc>
          <w:tcPr>
            <w:tcW w:w="565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Показатель используется для прогнозирования возможности заключения сделки (внесудебного мирового соглашения).</w:t>
            </w:r>
          </w:p>
        </w:tc>
      </w:tr>
    </w:tbl>
    <w:p>
      <w:pPr>
        <w:pStyle w:val="Normal"/>
        <w:spacing w:lineRule="atLeast" w:line="100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</w:r>
    </w:p>
    <w:p>
      <w:pPr>
        <w:pStyle w:val="Normal"/>
        <w:spacing w:lineRule="atLeast" w:line="100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</w:r>
    </w:p>
    <w:p>
      <w:pPr>
        <w:pStyle w:val="3"/>
        <w:spacing w:lineRule="atLeast" w:line="100"/>
        <w:ind w:left="0" w:right="0" w:hanging="0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  <w:t>Качественные показатели оценки конфликтной ситуации</w:t>
      </w:r>
    </w:p>
    <w:p>
      <w:pPr>
        <w:pStyle w:val="Normal"/>
        <w:spacing w:lineRule="atLeast" w:line="100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  <w:t xml:space="preserve">Специалисты по финансам и производству отдают приоритет качественным показателям в сравнении с количественными. </w:t>
      </w:r>
    </w:p>
    <w:p>
      <w:pPr>
        <w:pStyle w:val="Normal"/>
        <w:spacing w:lineRule="atLeast" w:line="100"/>
        <w:jc w:val="both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20"/>
        <w:gridCol w:w="6384"/>
      </w:tblGrid>
      <w:tr>
        <w:trPr>
          <w:cantSplit w:val="false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center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Показатель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Что определяет?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Субъекты, вовлеченные в конфликт 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Кто конфликтует и их роли? Иные участники конфликта, с которыми возможна коалиция или которые способны повлиять на его эволюцию. </w:t>
            </w:r>
          </w:p>
          <w:p>
            <w:pPr>
              <w:pStyle w:val="Style18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Личностные особенности лиц, вовлеченных в конфликт, помогают выработать наилучшую тактику его разрешения, спрогнозировать поведение сторон конфликта.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Предмет конфликта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Точное определение предмета конфликта, зоны жизненных интересов, мотивов и позиций необходимо для разработки альтернативных вариантов решений, определения объективных критериев  и выбора методов и способов урегулирования.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Арсенал методов сторон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Арсенал методов сторон, приемлемых для урегулирования конфликта согласуется с конфликтующими. Например, конфликтующие могут принять  на себя обязательства воздержаться от судебных процедур (возбуждения уголовных дел, угроз). Арсенал используемых  методов нужен для понимания требований к специалисту - нейтральному посреднику для примирительных процедур.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Результат 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Точное описание результата необходимо для сравнения поставленных целей и задач и тем, что достигнуто в ходе урегулирования. Отражает степень удовлетворения конфликтующих услугами посредника. 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Продолжение сотрудничества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Логический показатель. Ответ "Да" как правило,  свидетельствует о конструктивном способе разрешения конфликта или кооперации в рамках достигнутого договора.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Внесудебное разрешение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Логический показатель. Ответ "Да" означает, что сторонам удалось достичь соглашения на внесудебной стадии.    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Наличие недобросовестных приемов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 xml:space="preserve">Логический показатель. Ответ "Да" означает, что одна либо несколько сторон использовали недобросовестные  приемы для разрешения конфликта, что обычно приводит к его обострению. 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Продолжительность конфликта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Длительность преддоговорных споров, сотрудничества по заключенной сделке или конфликта косвенно характеризует сложность конфликта.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Банкротство, ликвидация, уход с рынка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Численный показатель, показывающий, сколько конфликтантов в ходе конфликта или по его завершении прекратили свою деятельность на конкретном рынке или были ликвидированы в целом.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Деструкт. / Конструкт.</w:t>
            </w:r>
          </w:p>
        </w:tc>
        <w:tc>
          <w:tcPr>
            <w:tcW w:w="6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snapToGrid w:val="false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Бальная оценка деструктивный или конструктивный вариант урегулирования конфликта. Общая оценка результата урегулирования конфликта, который удалось достичь. Она принимает во внимание продолжение /прекращение отношений конфликтующих, продолжение их экономической деятельности на рынке, цену конфликта, арсенал использованных методов и др.  Балы меняются по шкале из пяти значений:</w:t>
            </w:r>
          </w:p>
          <w:p>
            <w:pPr>
              <w:pStyle w:val="Style18"/>
              <w:spacing w:lineRule="atLeast" w:line="100"/>
              <w:jc w:val="both"/>
              <w:rPr>
                <w:rFonts w:ascii="DejaVu Serif" w:hAnsi="DejaVu Serif"/>
                <w:color w:val="auto"/>
              </w:rPr>
            </w:pPr>
            <w:r>
              <w:rPr>
                <w:rFonts w:ascii="DejaVu Serif" w:hAnsi="DejaVu Serif"/>
                <w:color w:val="auto"/>
              </w:rPr>
              <w:t>Уверенно конструктивный, Скорее конструктивный, Оценка затруднительна, Скорее деструктивный,  Уверенно  деструктивный.</w:t>
            </w:r>
          </w:p>
        </w:tc>
      </w:tr>
    </w:tbl>
    <w:p>
      <w:pPr>
        <w:pStyle w:val="Normal"/>
        <w:autoSpaceDE w:val="false"/>
        <w:spacing w:lineRule="atLeast" w:line="100"/>
        <w:jc w:val="both"/>
        <w:rPr>
          <w:rFonts w:ascii="DejaVu Serif" w:hAnsi="DejaVu Serif"/>
          <w:color w:val="auto"/>
        </w:rPr>
      </w:pPr>
      <w:r>
        <w:rPr>
          <w:rFonts w:ascii="DejaVu Serif" w:hAnsi="DejaVu Serif"/>
          <w:color w:val="auto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DejaVu Serif" w:hAnsi="DejaVu Serif"/>
          <w:color w:val="auto"/>
          <w:sz w:val="24"/>
          <w:szCs w:val="24"/>
        </w:rPr>
      </w:pPr>
      <w:r>
        <w:rPr>
          <w:rFonts w:ascii="DejaVu Serif" w:hAnsi="DejaVu Serif"/>
          <w:color w:val="auto"/>
          <w:sz w:val="24"/>
          <w:szCs w:val="24"/>
        </w:rPr>
        <w:t xml:space="preserve">Важно отметить, что </w:t>
      </w:r>
      <w:r>
        <w:rPr>
          <w:rFonts w:ascii="DejaVu Serif" w:hAnsi="DejaVu Serif"/>
          <w:color w:val="auto"/>
          <w:sz w:val="24"/>
          <w:szCs w:val="24"/>
        </w:rPr>
        <w:t>все перечисленные критерии оценки конфликтной ситуации предполагают объективность, наличие хороший коммуникаций между сторонами спора, адекватное представление о конфликтной ситуации.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3">
    <w:name w:val="Заголовок 3"/>
    <w:basedOn w:val="Normal"/>
    <w:next w:val="Normal"/>
    <w:pPr>
      <w:keepNext/>
      <w:ind w:left="720" w:right="0" w:hanging="0"/>
    </w:pPr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Arial" w:hAnsi="Arial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2014-09-17T21:55:02Z</dcterms:created>
  <dc:language>ru-RU</dc:language>
  <cp:revision>0</cp:revision>
</cp:coreProperties>
</file>